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E96" w:rsidRDefault="00927E96" w:rsidP="00D02298">
      <w:pPr>
        <w:pStyle w:val="AralkYok"/>
        <w:jc w:val="center"/>
      </w:pPr>
    </w:p>
    <w:p w:rsidR="009E0F52" w:rsidRDefault="009E0F52" w:rsidP="00D02298">
      <w:pPr>
        <w:pStyle w:val="AralkYok"/>
        <w:jc w:val="center"/>
      </w:pPr>
    </w:p>
    <w:p w:rsidR="00D71F08" w:rsidRPr="00AA576B" w:rsidRDefault="00905D97" w:rsidP="00D71F08">
      <w:pPr>
        <w:pStyle w:val="AralkYok"/>
        <w:jc w:val="center"/>
        <w:rPr>
          <w:b/>
        </w:rPr>
      </w:pPr>
      <w:r>
        <w:rPr>
          <w:b/>
        </w:rPr>
        <w:t>2</w:t>
      </w:r>
      <w:bookmarkStart w:id="0" w:name="_GoBack"/>
      <w:bookmarkEnd w:id="0"/>
      <w:r w:rsidR="00194741">
        <w:rPr>
          <w:b/>
        </w:rPr>
        <w:t xml:space="preserve">.SINIF </w:t>
      </w:r>
      <w:r w:rsidR="00194741" w:rsidRPr="00AA576B">
        <w:rPr>
          <w:b/>
        </w:rPr>
        <w:t>HAYAT BİLGİSİ DERSİ DERS PLANI</w:t>
      </w:r>
    </w:p>
    <w:p w:rsidR="00D71F08" w:rsidRPr="00FF1DD2" w:rsidRDefault="00194741" w:rsidP="00D71F08">
      <w:pPr>
        <w:pStyle w:val="AralkYok"/>
        <w:jc w:val="center"/>
        <w:rPr>
          <w:b/>
          <w:color w:val="FF0000"/>
        </w:rPr>
      </w:pPr>
      <w:r>
        <w:rPr>
          <w:b/>
          <w:color w:val="FF0000"/>
        </w:rPr>
        <w:t>21</w:t>
      </w:r>
      <w:r w:rsidRPr="00FF1DD2">
        <w:rPr>
          <w:b/>
          <w:color w:val="FF0000"/>
        </w:rPr>
        <w:t xml:space="preserve">.Hafta </w:t>
      </w:r>
    </w:p>
    <w:p w:rsidR="00D71F08" w:rsidRPr="00AA576B" w:rsidRDefault="00194741" w:rsidP="00D71F08">
      <w:pPr>
        <w:pStyle w:val="AralkYok"/>
        <w:jc w:val="center"/>
        <w:rPr>
          <w:b/>
        </w:rPr>
      </w:pPr>
      <w:r>
        <w:rPr>
          <w:b/>
        </w:rPr>
        <w:t>(16-20 ŞUBAT 2026)</w:t>
      </w:r>
    </w:p>
    <w:p w:rsidR="00D71F08" w:rsidRDefault="00D71F08" w:rsidP="00D71F08">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EE0E25" w:rsidTr="00F9647B">
        <w:trPr>
          <w:trHeight w:val="284"/>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D71F08" w:rsidRPr="00A62DD1" w:rsidRDefault="00194741"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EE0E25" w:rsidTr="00F9647B">
        <w:trPr>
          <w:trHeight w:val="284"/>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D71F08" w:rsidRPr="00A62DD1" w:rsidRDefault="00194741" w:rsidP="00F9647B">
            <w:pPr>
              <w:pStyle w:val="AralkYok"/>
              <w:rPr>
                <w:rFonts w:ascii="Tahoma" w:hAnsi="Tahoma" w:cs="Tahoma"/>
                <w:sz w:val="19"/>
                <w:szCs w:val="19"/>
              </w:rPr>
            </w:pPr>
            <w:r w:rsidRPr="00A62DD1">
              <w:rPr>
                <w:rFonts w:ascii="Tahoma" w:hAnsi="Tahoma" w:cs="Tahoma"/>
                <w:b/>
                <w:sz w:val="19"/>
                <w:szCs w:val="19"/>
                <w14:ligatures w14:val="standardContextual"/>
              </w:rPr>
              <w:t xml:space="preserve">YAŞADIĞIM YER VE ÜLKEM  </w:t>
            </w:r>
          </w:p>
        </w:tc>
      </w:tr>
      <w:tr w:rsidR="00EE0E25" w:rsidTr="00F9647B">
        <w:trPr>
          <w:trHeight w:val="284"/>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Mustafa Kemal Atatürk’ün Öğrencilik Yılları</w:t>
            </w:r>
            <w:r w:rsidR="0098519B" w:rsidRPr="00A62DD1">
              <w:rPr>
                <w:rFonts w:ascii="Tahoma" w:hAnsi="Tahoma" w:cs="Tahoma"/>
                <w:b/>
                <w:sz w:val="19"/>
                <w:szCs w:val="19"/>
                <w14:ligatures w14:val="standardContextual"/>
              </w:rPr>
              <w:t xml:space="preserve"> </w:t>
            </w:r>
            <w:r w:rsidRPr="00A62DD1">
              <w:rPr>
                <w:rFonts w:ascii="Tahoma" w:hAnsi="Tahoma" w:cs="Tahoma"/>
                <w:b/>
                <w:sz w:val="19"/>
                <w:szCs w:val="19"/>
                <w14:ligatures w14:val="standardContextual"/>
              </w:rPr>
              <w:t>(4 saat)</w:t>
            </w:r>
          </w:p>
        </w:tc>
      </w:tr>
      <w:tr w:rsidR="00EE0E25" w:rsidTr="00F9647B">
        <w:trPr>
          <w:trHeight w:val="284"/>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D54DCA" w:rsidRPr="00A62DD1" w:rsidRDefault="00194741" w:rsidP="00D54DCA">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HB.2.4.3. Mustafa Kemal Atatürk’ün öğrencilik yıllarına ait anıları yorumlayabilme</w:t>
            </w:r>
          </w:p>
          <w:p w:rsidR="00D54DCA" w:rsidRPr="00A62DD1" w:rsidRDefault="00194741" w:rsidP="00D54DCA">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a) Mustafa Kemal Atatürk’ün öğrencilik yıllarına ilişkin anıları inceler.</w:t>
            </w:r>
          </w:p>
          <w:p w:rsidR="00D71F08" w:rsidRPr="00A62DD1" w:rsidRDefault="00194741" w:rsidP="00D54DCA">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b) Mustafa Kemal Atatürk’ün öğrencilik yıllarına ilişkin anıları ifade eder.</w:t>
            </w:r>
          </w:p>
        </w:tc>
      </w:tr>
      <w:tr w:rsidR="00EE0E25" w:rsidTr="00F9647B">
        <w:trPr>
          <w:trHeight w:val="284"/>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D71F08" w:rsidRPr="00A62DD1" w:rsidRDefault="00194741" w:rsidP="00F9647B">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D71F08" w:rsidRPr="00A62DD1" w:rsidRDefault="00194741" w:rsidP="00F9647B">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D71F08" w:rsidRPr="00A62DD1" w:rsidRDefault="00194741" w:rsidP="00F9647B">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EE0E25" w:rsidTr="00F9647B">
        <w:trPr>
          <w:trHeight w:val="284"/>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D71F08" w:rsidRPr="00A62DD1" w:rsidRDefault="00194741" w:rsidP="00F9647B">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EE0E25" w:rsidTr="00F9647B">
        <w:trPr>
          <w:trHeight w:val="357"/>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D71F08" w:rsidRPr="00A62DD1" w:rsidRDefault="00194741" w:rsidP="00F9647B">
            <w:pPr>
              <w:pStyle w:val="AralkYok"/>
              <w:rPr>
                <w:rFonts w:ascii="Tahoma" w:hAnsi="Tahoma" w:cs="Tahoma"/>
                <w:sz w:val="19"/>
                <w:szCs w:val="19"/>
              </w:rPr>
            </w:pPr>
            <w:r w:rsidRPr="00A62DD1">
              <w:rPr>
                <w:rFonts w:ascii="Tahoma" w:hAnsi="Tahoma" w:cs="Tahoma"/>
                <w:sz w:val="19"/>
                <w:szCs w:val="19"/>
                <w14:ligatures w14:val="standardContextual"/>
              </w:rPr>
              <w:t>tarihî mekân, doğal güzellik, yönetim birimi, millî gün ve bayram, dinî gün ve bayram</w:t>
            </w:r>
          </w:p>
        </w:tc>
      </w:tr>
      <w:tr w:rsidR="00EE0E25" w:rsidTr="00F9647B">
        <w:trPr>
          <w:trHeight w:val="504"/>
        </w:trPr>
        <w:tc>
          <w:tcPr>
            <w:tcW w:w="2981" w:type="dxa"/>
            <w:gridSpan w:val="2"/>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D71F08" w:rsidRPr="00A62DD1" w:rsidRDefault="00194741" w:rsidP="00F9647B">
            <w:pPr>
              <w:pStyle w:val="AralkYok"/>
              <w:rPr>
                <w:rFonts w:ascii="Tahoma" w:hAnsi="Tahoma" w:cs="Tahoma"/>
                <w:sz w:val="19"/>
                <w:szCs w:val="19"/>
              </w:rPr>
            </w:pPr>
            <w:r w:rsidRPr="00A62DD1">
              <w:rPr>
                <w:rFonts w:ascii="Tahoma" w:hAnsi="Tahoma" w:cs="Tahoma"/>
                <w:sz w:val="19"/>
                <w:szCs w:val="19"/>
                <w14:ligatures w14:val="standardContextual"/>
              </w:rPr>
              <w:t xml:space="preserve">Öğrenme çıktıları; kontrol listesi, yapılandırılmış röportaj, görüşme, çalışma yaprağı, rol oynama, canlandırma gibi ölçme araçları ve teknikleri kullanılarak değerlendirilebilir. Resim çizme, şiir yazma, canlandırma etkinlikleri kontrol listesiyle; şiir, şarkı, resim, afiş gibi ürünler ise dereceli puanlama anahtarı ile değerlendirilebilir. Bütüncül değerlendirme için tüm öğrenme çıktılarından oluşan bir izleme testi uygulanabilir. Performans görevinin değerlendirilmesinde akran ve öz değerlendirme formları öğrencilere sunulabilir. </w:t>
            </w:r>
          </w:p>
        </w:tc>
      </w:tr>
      <w:tr w:rsidR="00EE0E25" w:rsidTr="00F9647B">
        <w:trPr>
          <w:trHeight w:val="447"/>
        </w:trPr>
        <w:tc>
          <w:tcPr>
            <w:tcW w:w="1459" w:type="dxa"/>
            <w:vMerge w:val="restart"/>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D71F08" w:rsidRPr="00A62DD1" w:rsidRDefault="00194741" w:rsidP="00927E9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xml:space="preserve">Öğrencilerin </w:t>
            </w:r>
            <w:r w:rsidR="00927E96" w:rsidRPr="00A62DD1">
              <w:rPr>
                <w:rFonts w:ascii="Tahoma" w:hAnsi="Tahoma" w:cs="Tahoma"/>
                <w:sz w:val="19"/>
                <w:szCs w:val="19"/>
                <w14:ligatures w14:val="standardContextual"/>
              </w:rPr>
              <w:t>Mustafa Kemal Atatürk'ü görsel olarak tanıdığı kabul edilmektedir.</w:t>
            </w:r>
          </w:p>
        </w:tc>
      </w:tr>
      <w:tr w:rsidR="00EE0E25" w:rsidTr="00F9647B">
        <w:trPr>
          <w:trHeight w:val="190"/>
        </w:trPr>
        <w:tc>
          <w:tcPr>
            <w:tcW w:w="1459" w:type="dxa"/>
            <w:vMerge/>
            <w:vAlign w:val="center"/>
          </w:tcPr>
          <w:p w:rsidR="00D71F08" w:rsidRPr="00A62DD1" w:rsidRDefault="00D71F08" w:rsidP="00F9647B">
            <w:pPr>
              <w:pStyle w:val="AralkYok"/>
              <w:rPr>
                <w:rFonts w:ascii="Tahoma" w:hAnsi="Tahoma" w:cs="Tahoma"/>
                <w:b/>
                <w:sz w:val="19"/>
                <w:szCs w:val="19"/>
                <w14:ligatures w14:val="standardContextual"/>
              </w:rPr>
            </w:pPr>
          </w:p>
        </w:tc>
        <w:tc>
          <w:tcPr>
            <w:tcW w:w="1522" w:type="dxa"/>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D71F08" w:rsidRPr="00A62DD1" w:rsidRDefault="00194741"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xml:space="preserve">Öğrencilere; </w:t>
            </w:r>
            <w:r w:rsidR="00D54DCA" w:rsidRPr="00A62DD1">
              <w:rPr>
                <w:rFonts w:ascii="Tahoma" w:hAnsi="Tahoma" w:cs="Tahoma"/>
                <w:sz w:val="19"/>
                <w:szCs w:val="19"/>
                <w14:ligatures w14:val="standardContextual"/>
              </w:rPr>
              <w:t>Mustafa Kemal Atatürk'ün hayatı</w:t>
            </w:r>
            <w:r w:rsidR="0098519B" w:rsidRPr="00A62DD1">
              <w:rPr>
                <w:rFonts w:ascii="Tahoma" w:hAnsi="Tahoma" w:cs="Tahoma"/>
                <w:sz w:val="19"/>
                <w:szCs w:val="19"/>
                <w14:ligatures w14:val="standardContextual"/>
              </w:rPr>
              <w:t>na</w:t>
            </w:r>
            <w:r w:rsidRPr="00A62DD1">
              <w:rPr>
                <w:rFonts w:ascii="Tahoma" w:hAnsi="Tahoma" w:cs="Tahoma"/>
                <w:sz w:val="19"/>
                <w:szCs w:val="19"/>
                <w14:ligatures w14:val="standardContextual"/>
              </w:rPr>
              <w:t xml:space="preserve"> ilişkin aşağıdakilere benzer sorular sorulabilir:</w:t>
            </w:r>
          </w:p>
          <w:p w:rsidR="00D71F08" w:rsidRPr="00A62DD1" w:rsidRDefault="00194741" w:rsidP="00927E9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Mustafa Kemal Atatürk’ün hayatı</w:t>
            </w:r>
            <w:r w:rsidR="00927E96" w:rsidRPr="00A62DD1">
              <w:rPr>
                <w:rFonts w:ascii="Tahoma" w:hAnsi="Tahoma" w:cs="Tahoma"/>
                <w:sz w:val="19"/>
                <w:szCs w:val="19"/>
                <w14:ligatures w14:val="standardContextual"/>
              </w:rPr>
              <w:t xml:space="preserve"> ile ilgili neler biliyorsunuz?</w:t>
            </w:r>
          </w:p>
        </w:tc>
      </w:tr>
      <w:tr w:rsidR="00EE0E25" w:rsidTr="00F9647B">
        <w:trPr>
          <w:trHeight w:val="190"/>
        </w:trPr>
        <w:tc>
          <w:tcPr>
            <w:tcW w:w="1459" w:type="dxa"/>
            <w:vMerge/>
            <w:vAlign w:val="center"/>
          </w:tcPr>
          <w:p w:rsidR="00D71F08" w:rsidRPr="00A62DD1" w:rsidRDefault="00D71F08" w:rsidP="00F9647B">
            <w:pPr>
              <w:pStyle w:val="AralkYok"/>
              <w:rPr>
                <w:rFonts w:ascii="Tahoma" w:hAnsi="Tahoma" w:cs="Tahoma"/>
                <w:b/>
                <w:sz w:val="19"/>
                <w:szCs w:val="19"/>
                <w14:ligatures w14:val="standardContextual"/>
              </w:rPr>
            </w:pPr>
          </w:p>
        </w:tc>
        <w:tc>
          <w:tcPr>
            <w:tcW w:w="1522" w:type="dxa"/>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D71F08" w:rsidRPr="00A62DD1" w:rsidRDefault="00194741" w:rsidP="0098519B">
            <w:pPr>
              <w:pStyle w:val="AralkYok"/>
              <w:rPr>
                <w:rFonts w:ascii="Tahoma" w:hAnsi="Tahoma" w:cs="Tahoma"/>
                <w:sz w:val="19"/>
                <w:szCs w:val="19"/>
              </w:rPr>
            </w:pPr>
            <w:r w:rsidRPr="00A62DD1">
              <w:rPr>
                <w:rFonts w:ascii="Tahoma" w:hAnsi="Tahoma" w:cs="Tahoma"/>
                <w:sz w:val="19"/>
                <w:szCs w:val="19"/>
                <w14:ligatures w14:val="standardContextual"/>
              </w:rPr>
              <w:t xml:space="preserve">Öğrencilerin daha önce </w:t>
            </w:r>
            <w:r w:rsidR="0098519B" w:rsidRPr="00A62DD1">
              <w:rPr>
                <w:rFonts w:ascii="Tahoma" w:hAnsi="Tahoma" w:cs="Tahoma"/>
                <w:sz w:val="19"/>
                <w:szCs w:val="19"/>
                <w14:ligatures w14:val="standardContextual"/>
              </w:rPr>
              <w:t>Atatürk'le ilişkili mekanlara gittikleri</w:t>
            </w:r>
            <w:r w:rsidRPr="00A62DD1">
              <w:rPr>
                <w:rFonts w:ascii="Tahoma" w:hAnsi="Tahoma" w:cs="Tahoma"/>
                <w:sz w:val="19"/>
                <w:szCs w:val="19"/>
                <w14:ligatures w14:val="standardContextual"/>
              </w:rPr>
              <w:t xml:space="preserve"> deneyimlerini</w:t>
            </w:r>
            <w:r w:rsidR="0098519B" w:rsidRPr="00A62DD1">
              <w:rPr>
                <w:rFonts w:ascii="Tahoma" w:hAnsi="Tahoma" w:cs="Tahoma"/>
                <w:sz w:val="19"/>
                <w:szCs w:val="19"/>
                <w14:ligatures w14:val="standardContextual"/>
              </w:rPr>
              <w:t xml:space="preserve"> </w:t>
            </w:r>
            <w:r w:rsidRPr="00A62DD1">
              <w:rPr>
                <w:rFonts w:ascii="Tahoma" w:hAnsi="Tahoma" w:cs="Tahoma"/>
                <w:sz w:val="19"/>
                <w:szCs w:val="19"/>
                <w14:ligatures w14:val="standardContextual"/>
              </w:rPr>
              <w:t>paylaşmaları istenir.</w:t>
            </w:r>
          </w:p>
        </w:tc>
      </w:tr>
      <w:tr w:rsidR="00EE0E25" w:rsidTr="00F9647B">
        <w:trPr>
          <w:trHeight w:val="190"/>
        </w:trPr>
        <w:tc>
          <w:tcPr>
            <w:tcW w:w="1459" w:type="dxa"/>
            <w:vMerge/>
            <w:vAlign w:val="center"/>
          </w:tcPr>
          <w:p w:rsidR="00D71F08" w:rsidRPr="00A62DD1" w:rsidRDefault="00D71F08" w:rsidP="00F9647B">
            <w:pPr>
              <w:pStyle w:val="AralkYok"/>
              <w:rPr>
                <w:rFonts w:ascii="Tahoma" w:hAnsi="Tahoma" w:cs="Tahoma"/>
                <w:b/>
                <w:sz w:val="19"/>
                <w:szCs w:val="19"/>
                <w14:ligatures w14:val="standardContextual"/>
              </w:rPr>
            </w:pPr>
          </w:p>
        </w:tc>
        <w:tc>
          <w:tcPr>
            <w:tcW w:w="1522" w:type="dxa"/>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98519B" w:rsidRPr="00A62DD1" w:rsidRDefault="00194741" w:rsidP="00F9647B">
            <w:pPr>
              <w:autoSpaceDE w:val="0"/>
              <w:autoSpaceDN w:val="0"/>
              <w:adjustRightInd w:val="0"/>
              <w:rPr>
                <w:rFonts w:ascii="Tahoma" w:hAnsi="Tahoma" w:cs="Tahoma"/>
                <w:b/>
                <w:color w:val="000000" w:themeColor="text1"/>
                <w:sz w:val="19"/>
                <w:szCs w:val="19"/>
                <w14:ligatures w14:val="standardContextual"/>
              </w:rPr>
            </w:pPr>
            <w:r w:rsidRPr="00A62DD1">
              <w:rPr>
                <w:rFonts w:ascii="Tahoma" w:hAnsi="Tahoma" w:cs="Tahoma"/>
                <w:b/>
                <w:color w:val="000000" w:themeColor="text1"/>
                <w:sz w:val="19"/>
                <w:szCs w:val="19"/>
                <w14:ligatures w14:val="standardContextual"/>
              </w:rPr>
              <w:t>HB.2.4.3. Mustafa Kemal Atatürk’ün öğrencilik yıllarına ait anıları yorumlayabilme (4 saat)</w:t>
            </w:r>
          </w:p>
          <w:p w:rsidR="0098519B" w:rsidRPr="00A62DD1" w:rsidRDefault="00194741" w:rsidP="0098519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sz w:val="19"/>
                <w:szCs w:val="19"/>
              </w:rPr>
              <w:t xml:space="preserve"> </w:t>
            </w:r>
            <w:r w:rsidRPr="00A62DD1">
              <w:rPr>
                <w:rFonts w:ascii="Tahoma" w:hAnsi="Tahoma" w:cs="Tahoma"/>
                <w:color w:val="000000" w:themeColor="text1"/>
                <w:sz w:val="19"/>
                <w:szCs w:val="19"/>
                <w14:ligatures w14:val="standardContextual"/>
              </w:rPr>
              <w:t xml:space="preserve">Öğrencilerden Mustafa Kemal Atatürk’ün öğrencilik yıllarına ait anılarını yorumlayabilmeleri (SBAB2, SBAB2.5.SB1, SBAB2.5.SB2, SBAB2.5.SB4) beklenir. Bunun için Mustafa Kemal Atatürk’ün öğrencilik yıllarına ait anıları incelemeleri (a) istenir. </w:t>
            </w:r>
          </w:p>
          <w:p w:rsidR="0098519B" w:rsidRPr="00A62DD1" w:rsidRDefault="00194741" w:rsidP="0098519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Mustafa Kemal Atatürk'ün öğrencilik yıllarındaki anılarına örnekler verilir veya bu anılarla ilgili video,</w:t>
            </w:r>
            <w:r w:rsidR="00A62DD1">
              <w:rPr>
                <w:rFonts w:ascii="Tahoma" w:hAnsi="Tahoma" w:cs="Tahoma"/>
                <w:color w:val="000000" w:themeColor="text1"/>
                <w:sz w:val="19"/>
                <w:szCs w:val="19"/>
                <w14:ligatures w14:val="standardContextual"/>
              </w:rPr>
              <w:t xml:space="preserve"> </w:t>
            </w:r>
            <w:r w:rsidRPr="00A62DD1">
              <w:rPr>
                <w:rFonts w:ascii="Tahoma" w:hAnsi="Tahoma" w:cs="Tahoma"/>
                <w:color w:val="000000" w:themeColor="text1"/>
                <w:sz w:val="19"/>
                <w:szCs w:val="19"/>
                <w14:ligatures w14:val="standardContextual"/>
              </w:rPr>
              <w:t xml:space="preserve">animasyon gibi eğitsel içerikler izletilerek konu ile ilgili çıkarım yapmaları istenir (OB4.2). </w:t>
            </w:r>
          </w:p>
          <w:p w:rsidR="00927E96" w:rsidRPr="00A62DD1" w:rsidRDefault="00194741" w:rsidP="0098519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Öğrencilerden Mustafa Kemal Atatürk’ün öğrencilik yıllarına ait anılarını ifade etmeleri (b) beklenir. Atatürk’ün öğrencilik yıllarındaki başarılarından, azimli (D3.1) oluşundan,</w:t>
            </w:r>
            <w:r w:rsidRPr="00A62DD1">
              <w:rPr>
                <w:rFonts w:ascii="Tahoma" w:hAnsi="Tahoma" w:cs="Tahoma"/>
                <w:sz w:val="19"/>
                <w:szCs w:val="19"/>
              </w:rPr>
              <w:t xml:space="preserve"> </w:t>
            </w:r>
            <w:r w:rsidRPr="00A62DD1">
              <w:rPr>
                <w:rFonts w:ascii="Tahoma" w:hAnsi="Tahoma" w:cs="Tahoma"/>
                <w:color w:val="000000" w:themeColor="text1"/>
                <w:sz w:val="19"/>
                <w:szCs w:val="19"/>
                <w14:ligatures w14:val="standardContextual"/>
              </w:rPr>
              <w:t xml:space="preserve">söz ve davranışlarını açıkça ifade etmesinden, güvenilir bir öğrenci (D6.2) olduğundan bahsetmeleri istenir. Bunun için öğrencilerden içeriklerde verilen anılardan birini resim çizme, şiir yazma, canlandırma gibi etkinliklerle yorumlamaları istenir (E2.1). </w:t>
            </w:r>
          </w:p>
          <w:p w:rsidR="00D71F08" w:rsidRPr="00A62DD1" w:rsidRDefault="00194741" w:rsidP="00A62DD1">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sz w:val="19"/>
                <w:szCs w:val="19"/>
                <w14:ligatures w14:val="standardContextual"/>
              </w:rPr>
              <w:t xml:space="preserve"> ♦ </w:t>
            </w:r>
            <w:r w:rsidR="0098519B" w:rsidRPr="00A62DD1">
              <w:rPr>
                <w:rFonts w:ascii="Tahoma" w:hAnsi="Tahoma" w:cs="Tahoma"/>
                <w:color w:val="000000" w:themeColor="text1"/>
                <w:sz w:val="19"/>
                <w:szCs w:val="19"/>
                <w14:ligatures w14:val="standardContextual"/>
              </w:rPr>
              <w:t>Öğretmen</w:t>
            </w:r>
            <w:r w:rsidRPr="00A62DD1">
              <w:rPr>
                <w:rFonts w:ascii="Tahoma" w:hAnsi="Tahoma" w:cs="Tahoma"/>
                <w:color w:val="000000" w:themeColor="text1"/>
                <w:sz w:val="19"/>
                <w:szCs w:val="19"/>
                <w14:ligatures w14:val="standardContextual"/>
              </w:rPr>
              <w:t xml:space="preserve"> </w:t>
            </w:r>
            <w:r w:rsidR="0098519B" w:rsidRPr="00A62DD1">
              <w:rPr>
                <w:rFonts w:ascii="Tahoma" w:hAnsi="Tahoma" w:cs="Tahoma"/>
                <w:color w:val="000000" w:themeColor="text1"/>
                <w:sz w:val="19"/>
                <w:szCs w:val="19"/>
                <w14:ligatures w14:val="standardContextual"/>
              </w:rPr>
              <w:t>tarafından oluşturulan kontrol listesi ile öğrencilerin ürünleri değerlendirilebilir. Bu form</w:t>
            </w:r>
            <w:r w:rsidR="00A62DD1">
              <w:rPr>
                <w:rFonts w:ascii="Tahoma" w:hAnsi="Tahoma" w:cs="Tahoma"/>
                <w:color w:val="000000" w:themeColor="text1"/>
                <w:sz w:val="19"/>
                <w:szCs w:val="19"/>
                <w14:ligatures w14:val="standardContextual"/>
              </w:rPr>
              <w:t xml:space="preserve"> </w:t>
            </w:r>
            <w:r w:rsidR="0098519B" w:rsidRPr="00A62DD1">
              <w:rPr>
                <w:rFonts w:ascii="Tahoma" w:hAnsi="Tahoma" w:cs="Tahoma"/>
                <w:color w:val="000000" w:themeColor="text1"/>
                <w:sz w:val="19"/>
                <w:szCs w:val="19"/>
                <w14:ligatures w14:val="standardContextual"/>
              </w:rPr>
              <w:t>öğrencilerin portfolyolarına dâhil edilir.</w:t>
            </w:r>
          </w:p>
        </w:tc>
      </w:tr>
      <w:tr w:rsidR="00EE0E25" w:rsidTr="00F9647B">
        <w:trPr>
          <w:trHeight w:val="357"/>
        </w:trPr>
        <w:tc>
          <w:tcPr>
            <w:tcW w:w="1459" w:type="dxa"/>
            <w:vMerge w:val="restart"/>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D71F08" w:rsidRPr="00A62DD1" w:rsidRDefault="00194741" w:rsidP="00927E96">
            <w:pPr>
              <w:pStyle w:val="AralkYok"/>
              <w:rPr>
                <w:rFonts w:ascii="Tahoma" w:hAnsi="Tahoma" w:cs="Tahoma"/>
                <w:sz w:val="19"/>
                <w:szCs w:val="19"/>
              </w:rPr>
            </w:pPr>
            <w:r w:rsidRPr="00A62DD1">
              <w:rPr>
                <w:rFonts w:ascii="Tahoma" w:hAnsi="Tahoma" w:cs="Tahoma"/>
                <w:sz w:val="19"/>
                <w:szCs w:val="19"/>
              </w:rPr>
              <w:t>Öğrencilerden Mustafa Kemal A</w:t>
            </w:r>
            <w:r w:rsidR="00927E96" w:rsidRPr="00A62DD1">
              <w:rPr>
                <w:rFonts w:ascii="Tahoma" w:hAnsi="Tahoma" w:cs="Tahoma"/>
                <w:sz w:val="19"/>
                <w:szCs w:val="19"/>
              </w:rPr>
              <w:t xml:space="preserve">tatürk’ün öğrencilik anılarına </w:t>
            </w:r>
            <w:r w:rsidRPr="00A62DD1">
              <w:rPr>
                <w:rFonts w:ascii="Tahoma" w:hAnsi="Tahoma" w:cs="Tahoma"/>
                <w:sz w:val="19"/>
                <w:szCs w:val="19"/>
              </w:rPr>
              <w:t>ilişkin bir senaryo yazmaları ve bu senaryoları sunmaları istenebilir.</w:t>
            </w:r>
          </w:p>
        </w:tc>
      </w:tr>
      <w:tr w:rsidR="00EE0E25" w:rsidTr="00F9647B">
        <w:trPr>
          <w:trHeight w:val="190"/>
        </w:trPr>
        <w:tc>
          <w:tcPr>
            <w:tcW w:w="1459" w:type="dxa"/>
            <w:vMerge/>
            <w:vAlign w:val="center"/>
          </w:tcPr>
          <w:p w:rsidR="00D71F08" w:rsidRPr="00A62DD1" w:rsidRDefault="00D71F08" w:rsidP="00F9647B">
            <w:pPr>
              <w:pStyle w:val="AralkYok"/>
              <w:rPr>
                <w:rFonts w:ascii="Tahoma" w:hAnsi="Tahoma" w:cs="Tahoma"/>
                <w:b/>
                <w:sz w:val="19"/>
                <w:szCs w:val="19"/>
                <w14:ligatures w14:val="standardContextual"/>
              </w:rPr>
            </w:pPr>
          </w:p>
        </w:tc>
        <w:tc>
          <w:tcPr>
            <w:tcW w:w="1522" w:type="dxa"/>
            <w:vAlign w:val="center"/>
          </w:tcPr>
          <w:p w:rsidR="00D71F08" w:rsidRPr="00A62DD1" w:rsidRDefault="00194741"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D71F08" w:rsidRPr="00A62DD1" w:rsidRDefault="00194741" w:rsidP="00927E96">
            <w:pPr>
              <w:pStyle w:val="AralkYok"/>
              <w:rPr>
                <w:rFonts w:ascii="Tahoma" w:hAnsi="Tahoma" w:cs="Tahoma"/>
                <w:sz w:val="19"/>
                <w:szCs w:val="19"/>
              </w:rPr>
            </w:pPr>
            <w:r w:rsidRPr="00A62DD1">
              <w:rPr>
                <w:rFonts w:ascii="Tahoma" w:hAnsi="Tahoma" w:cs="Tahoma"/>
                <w:sz w:val="19"/>
                <w:szCs w:val="19"/>
              </w:rPr>
              <w:t>Öğrencilerden Mustafa Kemal</w:t>
            </w:r>
            <w:r w:rsidR="00927E96" w:rsidRPr="00A62DD1">
              <w:rPr>
                <w:rFonts w:ascii="Tahoma" w:hAnsi="Tahoma" w:cs="Tahoma"/>
                <w:sz w:val="19"/>
                <w:szCs w:val="19"/>
              </w:rPr>
              <w:t xml:space="preserve"> Atatürk’ün öğrencilik anıları </w:t>
            </w:r>
            <w:r w:rsidRPr="00A62DD1">
              <w:rPr>
                <w:rFonts w:ascii="Tahoma" w:hAnsi="Tahoma" w:cs="Tahoma"/>
                <w:sz w:val="19"/>
                <w:szCs w:val="19"/>
              </w:rPr>
              <w:t>hakkında düşüncelerini ifade etmeleri istenebilir.</w:t>
            </w:r>
          </w:p>
        </w:tc>
      </w:tr>
    </w:tbl>
    <w:p w:rsidR="00D71F08" w:rsidRDefault="00D71F08" w:rsidP="00D71F08">
      <w:pPr>
        <w:pStyle w:val="AralkYok"/>
        <w:rPr>
          <w:sz w:val="20"/>
          <w:szCs w:val="20"/>
        </w:rPr>
      </w:pPr>
    </w:p>
    <w:p w:rsidR="00D71F08" w:rsidRDefault="00194741" w:rsidP="00D71F08">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87630</wp:posOffset>
                </wp:positionV>
                <wp:extent cx="3825240" cy="1203960"/>
                <wp:effectExtent l="0" t="0" r="0" b="0"/>
                <wp:wrapNone/>
                <wp:docPr id="90" name="Grup 90"/>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91" name="Dikdörtgen 91"/>
                        <wps:cNvSpPr/>
                        <wps:spPr>
                          <a:xfrm>
                            <a:off x="0" y="0"/>
                            <a:ext cx="1493520" cy="1203960"/>
                          </a:xfrm>
                          <a:prstGeom prst="rect">
                            <a:avLst/>
                          </a:prstGeom>
                          <a:noFill/>
                          <a:ln w="12700">
                            <a:noFill/>
                            <a:prstDash val="solid"/>
                            <a:miter lim="800000"/>
                          </a:ln>
                          <a:effectLst/>
                        </wps:spPr>
                        <wps:txbx>
                          <w:txbxContent>
                            <w:p w:rsidR="005A4244" w:rsidRPr="007F30E0" w:rsidRDefault="00194741" w:rsidP="005A4244">
                              <w:pPr>
                                <w:pStyle w:val="AralkYok"/>
                                <w:jc w:val="center"/>
                                <w:rPr>
                                  <w:color w:val="000000" w:themeColor="text1"/>
                                </w:rPr>
                              </w:pPr>
                              <w:r w:rsidRPr="007F30E0">
                                <w:rPr>
                                  <w:color w:val="000000" w:themeColor="text1"/>
                                </w:rPr>
                                <w:t>OLUR</w:t>
                              </w:r>
                            </w:p>
                            <w:p w:rsidR="005A4244" w:rsidRPr="007F30E0" w:rsidRDefault="00194741"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194741" w:rsidP="005A4244">
                              <w:pPr>
                                <w:pStyle w:val="AralkYok"/>
                                <w:jc w:val="center"/>
                                <w:rPr>
                                  <w:color w:val="000000" w:themeColor="text1"/>
                                </w:rPr>
                              </w:pPr>
                              <w:r w:rsidRPr="007F30E0">
                                <w:rPr>
                                  <w:color w:val="000000" w:themeColor="text1"/>
                                </w:rPr>
                                <w:t>....................</w:t>
                              </w:r>
                            </w:p>
                            <w:p w:rsidR="005A4244" w:rsidRPr="007F30E0" w:rsidRDefault="00194741"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92" name="Dikdörtgen 92">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194741"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36441952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41952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194741"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90" o:spid="_x0000_s1025" style="width:301.2pt;height:94.8pt;margin-top:6.9pt;margin-left:241.2pt;position:absolute;z-index:251659264" coordsize="38252,12039">
                <v:rect id="Dikdörtgen 91" o:spid="_x0000_s1026" style="width:14935;height:12039;mso-wrap-style:square;position:absolute;v-text-anchor:middle;visibility:visible" filled="f" stroked="f" strokeweight="1pt">
                  <v:textbox>
                    <w:txbxContent>
                      <w:p w:rsidR="005A4244" w:rsidRPr="007F30E0" w:rsidP="005A4244" w14:paraId="33649CD9" w14:textId="77777777">
                        <w:pPr>
                          <w:pStyle w:val="NoSpacing"/>
                          <w:jc w:val="center"/>
                          <w:rPr>
                            <w:color w:val="000000" w:themeColor="text1"/>
                          </w:rPr>
                        </w:pPr>
                        <w:r w:rsidRPr="007F30E0">
                          <w:rPr>
                            <w:color w:val="000000" w:themeColor="text1"/>
                          </w:rPr>
                          <w:t>OLUR</w:t>
                        </w:r>
                      </w:p>
                      <w:p w:rsidR="005A4244" w:rsidRPr="007F30E0" w:rsidP="005A4244" w14:paraId="35E21191" w14:textId="77777777">
                        <w:pPr>
                          <w:pStyle w:val="NoSpacing"/>
                          <w:jc w:val="center"/>
                          <w:rPr>
                            <w:color w:val="000000" w:themeColor="text1"/>
                          </w:rPr>
                        </w:pPr>
                        <w:r w:rsidRPr="007F30E0">
                          <w:rPr>
                            <w:color w:val="000000" w:themeColor="text1"/>
                          </w:rPr>
                          <w:t>.....................</w:t>
                        </w:r>
                      </w:p>
                      <w:p w:rsidR="005A4244" w:rsidRPr="007F30E0" w:rsidP="005A4244" w14:paraId="3CC8AE42" w14:textId="77777777">
                        <w:pPr>
                          <w:pStyle w:val="NoSpacing"/>
                          <w:jc w:val="center"/>
                          <w:rPr>
                            <w:color w:val="000000" w:themeColor="text1"/>
                          </w:rPr>
                        </w:pPr>
                      </w:p>
                      <w:p w:rsidR="005A4244" w:rsidRPr="007F30E0" w:rsidP="005A4244" w14:paraId="79D1F7DC" w14:textId="77777777">
                        <w:pPr>
                          <w:pStyle w:val="NoSpacing"/>
                          <w:jc w:val="center"/>
                          <w:rPr>
                            <w:color w:val="000000" w:themeColor="text1"/>
                          </w:rPr>
                        </w:pPr>
                        <w:r w:rsidRPr="007F30E0">
                          <w:rPr>
                            <w:color w:val="000000" w:themeColor="text1"/>
                          </w:rPr>
                          <w:t>....................</w:t>
                        </w:r>
                      </w:p>
                      <w:p w:rsidR="005A4244" w:rsidRPr="007F30E0" w:rsidP="005A4244" w14:paraId="071EA39E" w14:textId="77777777">
                        <w:pPr>
                          <w:jc w:val="center"/>
                          <w:rPr>
                            <w:color w:val="000000" w:themeColor="text1"/>
                          </w:rPr>
                        </w:pPr>
                        <w:r w:rsidRPr="007F30E0">
                          <w:rPr>
                            <w:color w:val="000000" w:themeColor="text1"/>
                          </w:rPr>
                          <w:t>Okul Müdürü</w:t>
                        </w:r>
                      </w:p>
                    </w:txbxContent>
                  </v:textbox>
                </v:rect>
                <v:rect id="Dikdörtgen 92"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311E31A2" w14:textId="77777777">
                        <w:pPr>
                          <w:jc w:val="center"/>
                          <w:rPr>
                            <w:b/>
                            <w:color w:val="0070C0"/>
                          </w:rPr>
                        </w:pPr>
                        <w:drawing>
                          <wp:inline distT="0" distB="0" distL="0" distR="0">
                            <wp:extent cx="1187093" cy="556260"/>
                            <wp:effectExtent l="0" t="0" r="0"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6E62E140" w14:textId="77777777">
                        <w:pPr>
                          <w:jc w:val="center"/>
                          <w:rPr>
                            <w:b/>
                            <w:color w:val="0070C0"/>
                          </w:rPr>
                        </w:pPr>
                        <w:r w:rsidRPr="007F30E0">
                          <w:rPr>
                            <w:b/>
                            <w:color w:val="0070C0"/>
                          </w:rPr>
                          <w:t>www.mustafakabul.com</w:t>
                        </w:r>
                      </w:p>
                    </w:txbxContent>
                  </v:textbox>
                </v:rect>
              </v:group>
            </w:pict>
          </mc:Fallback>
        </mc:AlternateContent>
      </w:r>
    </w:p>
    <w:p w:rsidR="00D71F08" w:rsidRDefault="00D71F08" w:rsidP="00D71F08">
      <w:pPr>
        <w:pStyle w:val="AralkYok"/>
        <w:jc w:val="center"/>
      </w:pPr>
    </w:p>
    <w:p w:rsidR="00D71F08" w:rsidRDefault="00D71F08" w:rsidP="00D71F08">
      <w:pPr>
        <w:pStyle w:val="AralkYok"/>
        <w:jc w:val="center"/>
      </w:pPr>
    </w:p>
    <w:p w:rsidR="00D71F08" w:rsidRDefault="00D71F08" w:rsidP="00D71F08">
      <w:pPr>
        <w:pStyle w:val="AralkYok"/>
        <w:jc w:val="center"/>
      </w:pPr>
    </w:p>
    <w:p w:rsidR="00D71F08" w:rsidRDefault="00D71F08" w:rsidP="00D71F08">
      <w:pPr>
        <w:pStyle w:val="AralkYok"/>
        <w:jc w:val="center"/>
      </w:pPr>
    </w:p>
    <w:p w:rsidR="00D71F08" w:rsidRDefault="00D71F08" w:rsidP="00D71F08">
      <w:pPr>
        <w:pStyle w:val="AralkYok"/>
        <w:jc w:val="center"/>
      </w:pPr>
    </w:p>
    <w:p w:rsidR="00D71F08" w:rsidRDefault="00D71F08" w:rsidP="00D71F08">
      <w:pPr>
        <w:pStyle w:val="AralkYok"/>
        <w:jc w:val="center"/>
      </w:pP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p>
    <w:sectPr w:rsidR="009E0F52" w:rsidSect="00926B9C">
      <w:pgSz w:w="11906" w:h="16838"/>
      <w:pgMar w:top="284" w:right="284" w:bottom="284" w:left="284" w:header="284" w:footer="340" w:gutter="0"/>
      <w:pgNumType w:start="2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04045152">
      <w:start w:val="1"/>
      <w:numFmt w:val="decimal"/>
      <w:lvlText w:val=""/>
      <w:lvlJc w:val="left"/>
    </w:lvl>
    <w:lvl w:ilvl="1" w:tplc="40546562">
      <w:numFmt w:val="decimal"/>
      <w:lvlText w:val=""/>
      <w:lvlJc w:val="left"/>
    </w:lvl>
    <w:lvl w:ilvl="2" w:tplc="D60E7ACE">
      <w:numFmt w:val="decimal"/>
      <w:lvlText w:val=""/>
      <w:lvlJc w:val="left"/>
    </w:lvl>
    <w:lvl w:ilvl="3" w:tplc="9ACAA782">
      <w:numFmt w:val="decimal"/>
      <w:lvlText w:val=""/>
      <w:lvlJc w:val="left"/>
    </w:lvl>
    <w:lvl w:ilvl="4" w:tplc="B2C01ECA">
      <w:numFmt w:val="decimal"/>
      <w:lvlText w:val=""/>
      <w:lvlJc w:val="left"/>
    </w:lvl>
    <w:lvl w:ilvl="5" w:tplc="A8FC5F62">
      <w:numFmt w:val="decimal"/>
      <w:lvlText w:val=""/>
      <w:lvlJc w:val="left"/>
    </w:lvl>
    <w:lvl w:ilvl="6" w:tplc="B134905A">
      <w:numFmt w:val="decimal"/>
      <w:lvlText w:val=""/>
      <w:lvlJc w:val="left"/>
    </w:lvl>
    <w:lvl w:ilvl="7" w:tplc="6CEE55CC">
      <w:numFmt w:val="decimal"/>
      <w:lvlText w:val=""/>
      <w:lvlJc w:val="left"/>
    </w:lvl>
    <w:lvl w:ilvl="8" w:tplc="F078C10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4741"/>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05D97"/>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0E25"/>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5BAE"/>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9198C-1836-4009-89D7-15EF28E5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531</Words>
  <Characters>3033</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2025-08-26T15:36:00Z</dcterms:modified>
  <cp:category>www.mustafakabul.com</cp:category>
</cp:coreProperties>
</file>